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93" w:rsidRDefault="00B93893" w:rsidP="004E07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Приложение 1</w:t>
      </w:r>
    </w:p>
    <w:p w:rsidR="00B93893" w:rsidRPr="004E0711" w:rsidRDefault="00B93893" w:rsidP="00FE35AE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к </w:t>
      </w:r>
      <w:r w:rsidRPr="004E0711">
        <w:rPr>
          <w:rFonts w:ascii="Times New Roman" w:hAnsi="Times New Roman" w:cs="Times New Roman"/>
          <w:sz w:val="16"/>
          <w:szCs w:val="16"/>
          <w:lang w:eastAsia="ru-RU"/>
        </w:rPr>
        <w:t xml:space="preserve">Порядку составления и утверждения плана </w:t>
      </w:r>
    </w:p>
    <w:p w:rsidR="00B93893" w:rsidRPr="004E0711" w:rsidRDefault="00B93893" w:rsidP="00FE35AE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4E0711">
        <w:rPr>
          <w:rFonts w:ascii="Times New Roman" w:hAnsi="Times New Roman" w:cs="Times New Roman"/>
          <w:sz w:val="16"/>
          <w:szCs w:val="16"/>
          <w:lang w:eastAsia="ru-RU"/>
        </w:rPr>
        <w:t xml:space="preserve">финансово-хозяйственной деятельности </w:t>
      </w:r>
      <w:r>
        <w:rPr>
          <w:rFonts w:ascii="Times New Roman" w:hAnsi="Times New Roman" w:cs="Times New Roman"/>
          <w:sz w:val="16"/>
          <w:szCs w:val="16"/>
          <w:lang w:eastAsia="ru-RU"/>
        </w:rPr>
        <w:t>муниципальных</w:t>
      </w:r>
    </w:p>
    <w:p w:rsidR="00B93893" w:rsidRDefault="00B93893" w:rsidP="00FE35AE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4E0711">
        <w:rPr>
          <w:rFonts w:ascii="Times New Roman" w:hAnsi="Times New Roman" w:cs="Times New Roman"/>
          <w:sz w:val="16"/>
          <w:szCs w:val="16"/>
          <w:lang w:eastAsia="ru-RU"/>
        </w:rPr>
        <w:t xml:space="preserve">бюджетных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и автономных </w:t>
      </w:r>
      <w:r w:rsidRPr="004E0711">
        <w:rPr>
          <w:rFonts w:ascii="Times New Roman" w:hAnsi="Times New Roman" w:cs="Times New Roman"/>
          <w:sz w:val="16"/>
          <w:szCs w:val="16"/>
          <w:lang w:eastAsia="ru-RU"/>
        </w:rPr>
        <w:t xml:space="preserve">учреждений, находящихся </w:t>
      </w:r>
    </w:p>
    <w:p w:rsidR="00B93893" w:rsidRDefault="00B93893" w:rsidP="00FE35AE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4E0711">
        <w:rPr>
          <w:rFonts w:ascii="Times New Roman" w:hAnsi="Times New Roman" w:cs="Times New Roman"/>
          <w:sz w:val="16"/>
          <w:szCs w:val="16"/>
          <w:lang w:eastAsia="ru-RU"/>
        </w:rPr>
        <w:t xml:space="preserve">в ведении </w:t>
      </w:r>
      <w:r>
        <w:rPr>
          <w:rFonts w:ascii="Times New Roman" w:hAnsi="Times New Roman" w:cs="Times New Roman"/>
          <w:sz w:val="16"/>
          <w:szCs w:val="16"/>
          <w:lang w:eastAsia="ru-RU"/>
        </w:rPr>
        <w:t>администрации Бытсринского муниципального</w:t>
      </w:r>
    </w:p>
    <w:p w:rsidR="00B93893" w:rsidRDefault="00B93893" w:rsidP="00FE35AE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района</w:t>
      </w:r>
      <w:r w:rsidRPr="004E0711">
        <w:rPr>
          <w:rFonts w:ascii="Times New Roman" w:hAnsi="Times New Roman" w:cs="Times New Roman"/>
          <w:sz w:val="16"/>
          <w:szCs w:val="16"/>
          <w:lang w:eastAsia="ru-RU"/>
        </w:rPr>
        <w:t xml:space="preserve">, утвержденному </w:t>
      </w:r>
      <w:r>
        <w:rPr>
          <w:rFonts w:ascii="Times New Roman" w:hAnsi="Times New Roman" w:cs="Times New Roman"/>
          <w:sz w:val="16"/>
          <w:szCs w:val="16"/>
          <w:lang w:eastAsia="ru-RU"/>
        </w:rPr>
        <w:t>постановлением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администрации </w:t>
      </w:r>
    </w:p>
    <w:p w:rsidR="00B93893" w:rsidRDefault="00B93893" w:rsidP="00FE35AE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Бытсринского муниципального района</w:t>
      </w:r>
    </w:p>
    <w:p w:rsidR="00B93893" w:rsidRDefault="00B93893" w:rsidP="00FE35AE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от « 01» «  января   2016 г. №</w:t>
      </w:r>
    </w:p>
    <w:p w:rsidR="00B93893" w:rsidRDefault="00B93893" w:rsidP="004E0711">
      <w:pPr>
        <w:spacing w:after="0" w:line="240" w:lineRule="auto"/>
        <w:ind w:left="524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93893" w:rsidRDefault="00B93893" w:rsidP="004E0711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</w:p>
    <w:p w:rsidR="00B93893" w:rsidRDefault="00B93893" w:rsidP="004E0711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4E0711">
        <w:rPr>
          <w:rFonts w:ascii="Times New Roman" w:hAnsi="Times New Roman" w:cs="Times New Roman"/>
        </w:rPr>
        <w:t>УТВЕРЖДАЮ</w:t>
      </w:r>
    </w:p>
    <w:p w:rsidR="00B93893" w:rsidRDefault="00B93893" w:rsidP="004E0711">
      <w:pPr>
        <w:pBdr>
          <w:bottom w:val="single" w:sz="12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Глава Администрации Быстринского Муниципального района</w:t>
      </w:r>
    </w:p>
    <w:p w:rsidR="00B93893" w:rsidRPr="004E0711" w:rsidRDefault="00B93893" w:rsidP="00366364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66364">
        <w:rPr>
          <w:rFonts w:ascii="Times New Roman" w:hAnsi="Times New Roman" w:cs="Times New Roman"/>
          <w:sz w:val="16"/>
          <w:szCs w:val="16"/>
        </w:rPr>
        <w:t>руководитель учреждения</w:t>
      </w:r>
      <w:r>
        <w:rPr>
          <w:rFonts w:ascii="Times New Roman" w:hAnsi="Times New Roman" w:cs="Times New Roman"/>
        </w:rPr>
        <w:t>)</w:t>
      </w:r>
    </w:p>
    <w:p w:rsidR="00B93893" w:rsidRDefault="00B93893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C106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А.В. Греков    </w:t>
      </w:r>
    </w:p>
    <w:p w:rsidR="00B93893" w:rsidRDefault="00B93893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« 01 »  января   2017 г.</w:t>
      </w:r>
    </w:p>
    <w:p w:rsidR="00B93893" w:rsidRPr="00B31E20" w:rsidRDefault="00B93893" w:rsidP="00B31E20">
      <w:pPr>
        <w:rPr>
          <w:rFonts w:ascii="Times New Roman" w:hAnsi="Times New Roman" w:cs="Times New Roman"/>
        </w:rPr>
      </w:pPr>
    </w:p>
    <w:p w:rsidR="00B93893" w:rsidRDefault="00B93893" w:rsidP="00B31E20">
      <w:pPr>
        <w:rPr>
          <w:rFonts w:ascii="Times New Roman" w:hAnsi="Times New Roman" w:cs="Times New Roman"/>
        </w:rPr>
      </w:pPr>
    </w:p>
    <w:p w:rsidR="00B93893" w:rsidRDefault="00B93893" w:rsidP="00B31E20">
      <w:pPr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B31E20">
        <w:rPr>
          <w:rFonts w:ascii="Times New Roman" w:hAnsi="Times New Roman" w:cs="Times New Roman"/>
          <w:sz w:val="30"/>
          <w:szCs w:val="30"/>
          <w:lang w:eastAsia="ru-RU"/>
        </w:rPr>
        <w:t>План финансово - хозяйственной деятельности</w:t>
      </w:r>
    </w:p>
    <w:p w:rsidR="00B93893" w:rsidRDefault="00B93893" w:rsidP="004C1B09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Муниципального автономного (бюджетного) учреждения</w:t>
      </w:r>
    </w:p>
    <w:p w:rsidR="00B93893" w:rsidRDefault="00B93893" w:rsidP="004C1B09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B31E20">
        <w:rPr>
          <w:rFonts w:ascii="Times New Roman" w:hAnsi="Times New Roman" w:cs="Times New Roman"/>
          <w:sz w:val="30"/>
          <w:szCs w:val="30"/>
          <w:lang w:eastAsia="ru-RU"/>
        </w:rPr>
        <w:t>на 20</w:t>
      </w:r>
      <w:r>
        <w:rPr>
          <w:rFonts w:ascii="Times New Roman" w:hAnsi="Times New Roman" w:cs="Times New Roman"/>
          <w:sz w:val="30"/>
          <w:szCs w:val="30"/>
          <w:lang w:eastAsia="ru-RU"/>
        </w:rPr>
        <w:t>17</w:t>
      </w:r>
      <w:r w:rsidRPr="00B31E20">
        <w:rPr>
          <w:rFonts w:ascii="Times New Roman" w:hAnsi="Times New Roman" w:cs="Times New Roman"/>
          <w:sz w:val="30"/>
          <w:szCs w:val="30"/>
          <w:lang w:eastAsia="ru-RU"/>
        </w:rPr>
        <w:t xml:space="preserve"> год</w:t>
      </w:r>
    </w:p>
    <w:p w:rsidR="00B93893" w:rsidRPr="004C1B09" w:rsidRDefault="00B93893" w:rsidP="004C1B09">
      <w:pPr>
        <w:tabs>
          <w:tab w:val="left" w:pos="8604"/>
        </w:tabs>
        <w:spacing w:after="0" w:line="240" w:lineRule="auto"/>
        <w:rPr>
          <w:rFonts w:ascii="Times New Roman" w:hAnsi="Times New Roman" w:cs="Times New Roman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17"/>
          <w:szCs w:val="17"/>
          <w:lang w:eastAsia="ru-RU"/>
        </w:rPr>
        <w:t xml:space="preserve">                  </w:t>
      </w:r>
      <w:r w:rsidRPr="00D63D31">
        <w:rPr>
          <w:rFonts w:ascii="Times New Roman" w:hAnsi="Times New Roman" w:cs="Times New Roman"/>
          <w:sz w:val="17"/>
          <w:szCs w:val="17"/>
          <w:lang w:eastAsia="ru-RU"/>
        </w:rPr>
        <w:t>КОДЫ</w:t>
      </w:r>
      <w:r>
        <w:rPr>
          <w:rFonts w:ascii="Times New Roman" w:hAnsi="Times New Roman" w:cs="Times New Roman"/>
          <w:sz w:val="17"/>
          <w:szCs w:val="17"/>
          <w:lang w:eastAsia="ru-RU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128"/>
      </w:tblGrid>
      <w:tr w:rsidR="00B93893" w:rsidRPr="00592BE1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93893" w:rsidRPr="00592BE1" w:rsidRDefault="00B93893" w:rsidP="00592BE1">
            <w:pPr>
              <w:tabs>
                <w:tab w:val="left" w:pos="7044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92BE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Форма по КФД</w:t>
            </w:r>
          </w:p>
        </w:tc>
        <w:tc>
          <w:tcPr>
            <w:tcW w:w="1128" w:type="dxa"/>
          </w:tcPr>
          <w:p w:rsidR="00B93893" w:rsidRPr="00592BE1" w:rsidRDefault="00B93893" w:rsidP="00592BE1">
            <w:pPr>
              <w:tabs>
                <w:tab w:val="left" w:pos="7044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93893" w:rsidRPr="00592BE1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93893" w:rsidRPr="00592BE1" w:rsidRDefault="00B93893" w:rsidP="00592BE1">
            <w:pPr>
              <w:tabs>
                <w:tab w:val="left" w:pos="7044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92BE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1128" w:type="dxa"/>
          </w:tcPr>
          <w:p w:rsidR="00B93893" w:rsidRPr="00592BE1" w:rsidRDefault="00B93893" w:rsidP="00592BE1">
            <w:pPr>
              <w:tabs>
                <w:tab w:val="left" w:pos="7044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01.01.2017</w:t>
            </w:r>
          </w:p>
        </w:tc>
      </w:tr>
      <w:tr w:rsidR="00B93893" w:rsidRPr="00592BE1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93893" w:rsidRPr="00592BE1" w:rsidRDefault="00B93893" w:rsidP="00592BE1">
            <w:pPr>
              <w:tabs>
                <w:tab w:val="left" w:pos="7044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</w:tcPr>
          <w:p w:rsidR="00B93893" w:rsidRPr="00592BE1" w:rsidRDefault="00B93893" w:rsidP="00592BE1">
            <w:pPr>
              <w:tabs>
                <w:tab w:val="left" w:pos="7044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93893" w:rsidRPr="00592BE1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93893" w:rsidRPr="00592BE1" w:rsidRDefault="00B93893" w:rsidP="00592BE1">
            <w:pPr>
              <w:tabs>
                <w:tab w:val="left" w:pos="7044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92BE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по ОКПО</w:t>
            </w:r>
          </w:p>
        </w:tc>
        <w:tc>
          <w:tcPr>
            <w:tcW w:w="1128" w:type="dxa"/>
          </w:tcPr>
          <w:p w:rsidR="00B93893" w:rsidRPr="005C18DC" w:rsidRDefault="00B93893" w:rsidP="00592BE1">
            <w:pPr>
              <w:tabs>
                <w:tab w:val="left" w:pos="7044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C18DC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97854967</w:t>
            </w:r>
          </w:p>
        </w:tc>
      </w:tr>
      <w:tr w:rsidR="00B93893" w:rsidRPr="00592BE1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93893" w:rsidRPr="00592BE1" w:rsidRDefault="00B93893" w:rsidP="00592BE1">
            <w:pPr>
              <w:tabs>
                <w:tab w:val="left" w:pos="7044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</w:tcPr>
          <w:p w:rsidR="00B93893" w:rsidRPr="00592BE1" w:rsidRDefault="00B93893" w:rsidP="00592BE1">
            <w:pPr>
              <w:tabs>
                <w:tab w:val="left" w:pos="7044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93893" w:rsidRPr="00592BE1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93893" w:rsidRPr="00592BE1" w:rsidRDefault="00B93893" w:rsidP="00592BE1">
            <w:pPr>
              <w:tabs>
                <w:tab w:val="left" w:pos="7044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</w:tcPr>
          <w:p w:rsidR="00B93893" w:rsidRPr="00592BE1" w:rsidRDefault="00B93893" w:rsidP="00592BE1">
            <w:pPr>
              <w:tabs>
                <w:tab w:val="left" w:pos="7044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93893" w:rsidRPr="00592BE1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93893" w:rsidRPr="00592BE1" w:rsidRDefault="00B93893" w:rsidP="00592BE1">
            <w:pPr>
              <w:tabs>
                <w:tab w:val="left" w:pos="7044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92BE1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по ОКЕИ</w:t>
            </w:r>
          </w:p>
        </w:tc>
        <w:tc>
          <w:tcPr>
            <w:tcW w:w="1128" w:type="dxa"/>
          </w:tcPr>
          <w:p w:rsidR="00B93893" w:rsidRPr="00592BE1" w:rsidRDefault="00B93893" w:rsidP="00592BE1">
            <w:pPr>
              <w:tabs>
                <w:tab w:val="left" w:pos="7044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руб</w:t>
            </w:r>
          </w:p>
        </w:tc>
      </w:tr>
    </w:tbl>
    <w:p w:rsidR="00B93893" w:rsidRPr="004C1B09" w:rsidRDefault="00B93893" w:rsidP="004C1B09">
      <w:pPr>
        <w:tabs>
          <w:tab w:val="left" w:pos="7044"/>
        </w:tabs>
        <w:spacing w:after="0" w:line="240" w:lineRule="auto"/>
        <w:rPr>
          <w:rFonts w:ascii="Times New Roman" w:hAnsi="Times New Roman" w:cs="Times New Roman"/>
          <w:sz w:val="17"/>
          <w:szCs w:val="17"/>
          <w:lang w:eastAsia="ru-RU"/>
        </w:rPr>
      </w:pPr>
    </w:p>
    <w:p w:rsidR="00B93893" w:rsidRPr="00ED64F4" w:rsidRDefault="00B93893" w:rsidP="004C1B09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Наименование учреждения   </w:t>
      </w:r>
      <w:r w:rsidRPr="00ED64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культуры</w:t>
      </w:r>
      <w:r w:rsidRPr="00ED64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Межпоселенческая центральная библиотека имени К.С. Черканова</w:t>
      </w:r>
      <w:r w:rsidRPr="00ED64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93893" w:rsidRDefault="00B93893" w:rsidP="00B62213">
      <w:pPr>
        <w:spacing w:before="24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ИНН / КПП   </w:t>
      </w:r>
      <w:r>
        <w:rPr>
          <w:rFonts w:ascii="Times New Roman" w:hAnsi="Times New Roman" w:cs="Times New Roman"/>
          <w:sz w:val="20"/>
          <w:szCs w:val="20"/>
          <w:lang w:eastAsia="ru-RU"/>
        </w:rPr>
        <w:t>4104003035</w:t>
      </w:r>
      <w:r w:rsidRPr="00ED64F4">
        <w:rPr>
          <w:rFonts w:ascii="Times New Roman" w:hAnsi="Times New Roman" w:cs="Times New Roman"/>
          <w:sz w:val="20"/>
          <w:szCs w:val="20"/>
          <w:lang w:eastAsia="ru-RU"/>
        </w:rPr>
        <w:t xml:space="preserve"> /  410401001</w:t>
      </w:r>
    </w:p>
    <w:p w:rsidR="00B93893" w:rsidRDefault="00B93893" w:rsidP="00B62213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622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Наименование органа, осуществляющего функции</w:t>
      </w:r>
    </w:p>
    <w:p w:rsidR="00B93893" w:rsidRPr="00ED64F4" w:rsidRDefault="00B93893" w:rsidP="00B62213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B622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 полномочия учредителя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Pr="00ED64F4">
        <w:rPr>
          <w:rFonts w:ascii="Times New Roman" w:hAnsi="Times New Roman" w:cs="Times New Roman"/>
          <w:sz w:val="20"/>
          <w:szCs w:val="20"/>
          <w:lang w:eastAsia="ru-RU"/>
        </w:rPr>
        <w:t>Администрация Быстринского Муниципального района</w:t>
      </w:r>
    </w:p>
    <w:p w:rsidR="00B93893" w:rsidRDefault="00B93893" w:rsidP="00B62213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Pr="00433A0E" w:rsidRDefault="00B93893" w:rsidP="00B62213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Адрес фактического местонахождения учреждения  </w:t>
      </w:r>
      <w:r w:rsidRPr="00433A0E">
        <w:rPr>
          <w:rFonts w:ascii="Times New Roman" w:hAnsi="Times New Roman" w:cs="Times New Roman"/>
          <w:sz w:val="20"/>
          <w:szCs w:val="20"/>
          <w:lang w:eastAsia="ru-RU"/>
        </w:rPr>
        <w:t xml:space="preserve">684350, Камчатский край, Быстринский район, с. Эссо ул. </w:t>
      </w:r>
      <w:r>
        <w:rPr>
          <w:rFonts w:ascii="Times New Roman" w:hAnsi="Times New Roman" w:cs="Times New Roman"/>
          <w:sz w:val="20"/>
          <w:szCs w:val="20"/>
          <w:lang w:eastAsia="ru-RU"/>
        </w:rPr>
        <w:t>50 лет Октября, 11</w:t>
      </w:r>
    </w:p>
    <w:p w:rsidR="00B93893" w:rsidRDefault="00B93893" w:rsidP="00B62213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Pr="00433A0E" w:rsidRDefault="00B93893" w:rsidP="00B62213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Единица измерения   </w:t>
      </w:r>
      <w:r w:rsidRPr="00433A0E">
        <w:rPr>
          <w:rFonts w:ascii="Times New Roman" w:hAnsi="Times New Roman" w:cs="Times New Roman"/>
          <w:sz w:val="20"/>
          <w:szCs w:val="20"/>
          <w:lang w:eastAsia="ru-RU"/>
        </w:rPr>
        <w:t>руб.</w:t>
      </w:r>
    </w:p>
    <w:p w:rsidR="00B93893" w:rsidRDefault="00B93893" w:rsidP="00B62213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B62213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B62213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B6221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FE35A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Сведения о деятельности учреждения</w:t>
      </w:r>
    </w:p>
    <w:p w:rsidR="00B93893" w:rsidRDefault="00B93893" w:rsidP="00222862">
      <w:pPr>
        <w:tabs>
          <w:tab w:val="left" w:pos="444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Pr="00017A46" w:rsidRDefault="00B93893" w:rsidP="00B622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62213">
        <w:rPr>
          <w:rFonts w:ascii="Times New Roman" w:hAnsi="Times New Roman" w:cs="Times New Roman"/>
          <w:sz w:val="20"/>
          <w:szCs w:val="20"/>
          <w:lang w:eastAsia="ru-RU"/>
        </w:rPr>
        <w:t>Цели деятельности муниципального бюджетного (автономного) учреждения</w:t>
      </w:r>
      <w:r w:rsidRPr="00017A46">
        <w:rPr>
          <w:rFonts w:ascii="Times New Roman" w:hAnsi="Times New Roman" w:cs="Times New Roman"/>
          <w:sz w:val="20"/>
          <w:szCs w:val="20"/>
          <w:lang w:eastAsia="ru-RU"/>
        </w:rPr>
        <w:t>: обеспечение библиотечного обслуживания населения района с учетом потребностей и интересов различных социально-возрастных групп.</w:t>
      </w:r>
    </w:p>
    <w:p w:rsidR="00B93893" w:rsidRDefault="00B93893" w:rsidP="00B622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62213">
        <w:rPr>
          <w:rFonts w:ascii="Times New Roman" w:hAnsi="Times New Roman" w:cs="Times New Roman"/>
          <w:sz w:val="20"/>
          <w:szCs w:val="20"/>
          <w:lang w:eastAsia="ru-RU"/>
        </w:rPr>
        <w:t>Виды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деятельности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бюджетного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(автономного) учреждения: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93893" w:rsidRDefault="00B93893" w:rsidP="00D7158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  <w:r w:rsidRPr="00950DAE">
        <w:rPr>
          <w:rFonts w:ascii="Times New Roman" w:hAnsi="Times New Roman" w:cs="Times New Roman"/>
          <w:sz w:val="20"/>
          <w:szCs w:val="20"/>
          <w:u w:val="single"/>
          <w:lang w:eastAsia="ru-RU"/>
        </w:rPr>
        <w:t>основная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B93893" w:rsidRDefault="00B93893" w:rsidP="0032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 Формирование, учет, обеспечение безопасности и сохранение библиотечных фондов;</w:t>
      </w:r>
    </w:p>
    <w:p w:rsidR="00B93893" w:rsidRDefault="00B93893" w:rsidP="0032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B93893" w:rsidRDefault="00B93893" w:rsidP="0032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оказание консультативной помощи в поиске и выборе источников информации;</w:t>
      </w:r>
    </w:p>
    <w:p w:rsidR="00B93893" w:rsidRDefault="00B93893" w:rsidP="0032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выдача во временное пользование любого документа библиотечного фонда;</w:t>
      </w:r>
    </w:p>
    <w:p w:rsidR="00B93893" w:rsidRDefault="00B93893" w:rsidP="0032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сотрудничество с другими библиотеками, развитие системы межбиблиотечного абонемента;</w:t>
      </w:r>
    </w:p>
    <w:p w:rsidR="00B93893" w:rsidRDefault="00B93893" w:rsidP="0032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участие в реализации государственных и муниципальных программ развития библиотечного дела;</w:t>
      </w:r>
    </w:p>
    <w:p w:rsidR="00B93893" w:rsidRDefault="00B93893" w:rsidP="0032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доступа;</w:t>
      </w:r>
    </w:p>
    <w:p w:rsidR="00B93893" w:rsidRDefault="00B93893" w:rsidP="0032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мониторинг потребностей пользователей;</w:t>
      </w:r>
    </w:p>
    <w:p w:rsidR="00B93893" w:rsidRDefault="00B93893" w:rsidP="0032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внедрение современных форм обслуживания читателей (организация центров правовой, экологической и иной информации, центров чтения, медиатек и т.д);</w:t>
      </w:r>
    </w:p>
    <w:p w:rsidR="00B93893" w:rsidRDefault="00B93893" w:rsidP="0032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проведение культурно-просветительских и образовательных мероприятий;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B93893" w:rsidRDefault="00B93893" w:rsidP="0032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осуществление выставочной и издательской деятельности;</w:t>
      </w:r>
    </w:p>
    <w:p w:rsidR="00B93893" w:rsidRDefault="00B93893" w:rsidP="0032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предоставление гражданам дополнительных библиотечных и сервисных услуг;</w:t>
      </w:r>
    </w:p>
    <w:p w:rsidR="00B93893" w:rsidRDefault="00B93893" w:rsidP="00322E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осуществление научно-методической деятельности.</w:t>
      </w:r>
    </w:p>
    <w:p w:rsidR="00B93893" w:rsidRDefault="00B93893" w:rsidP="00D7158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  <w:r w:rsidRPr="00D7158A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Иная</w:t>
      </w:r>
      <w:r>
        <w:rPr>
          <w:rFonts w:ascii="Times New Roman" w:hAnsi="Times New Roman" w:cs="Times New Roman"/>
          <w:sz w:val="20"/>
          <w:szCs w:val="20"/>
          <w:lang w:eastAsia="ru-RU"/>
        </w:rPr>
        <w:t>: не запрещенная законодательством Российской Федерации деятельность.</w:t>
      </w:r>
    </w:p>
    <w:p w:rsidR="00B93893" w:rsidRPr="00C146C2" w:rsidRDefault="00B93893" w:rsidP="00B622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  <w:r w:rsidRPr="00B62213">
        <w:rPr>
          <w:rFonts w:ascii="Times New Roman" w:hAnsi="Times New Roman" w:cs="Times New Roman"/>
          <w:sz w:val="20"/>
          <w:szCs w:val="20"/>
          <w:lang w:eastAsia="ru-RU"/>
        </w:rPr>
        <w:t>Перечень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услуг (работ), осуществляемых в соответствии с муниципальным заданием: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Осуществление библиотечного, библиографического и информационного обслуживания пользователей библиотек.</w:t>
      </w:r>
    </w:p>
    <w:p w:rsidR="00B93893" w:rsidRDefault="00B93893" w:rsidP="00B622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62213">
        <w:rPr>
          <w:rFonts w:ascii="Times New Roman" w:hAnsi="Times New Roman" w:cs="Times New Roman"/>
          <w:sz w:val="20"/>
          <w:szCs w:val="20"/>
          <w:lang w:eastAsia="ru-RU"/>
        </w:rPr>
        <w:t>Перечень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у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слуг (работ), осуществляемых на платной основе: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93893" w:rsidRDefault="00B93893" w:rsidP="00C14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работа по целенаправленному поиску информации в сети;</w:t>
      </w:r>
    </w:p>
    <w:p w:rsidR="00B93893" w:rsidRDefault="00B93893" w:rsidP="00C14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составление библиографических списков, справок и каталогов по запросам читателей;</w:t>
      </w:r>
    </w:p>
    <w:p w:rsidR="00B93893" w:rsidRDefault="00B93893" w:rsidP="00C14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сетям;</w:t>
      </w:r>
    </w:p>
    <w:p w:rsidR="00B93893" w:rsidRDefault="00B93893" w:rsidP="00C14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набор и редактирование текста на компьютере;</w:t>
      </w:r>
    </w:p>
    <w:p w:rsidR="00B93893" w:rsidRDefault="00B93893" w:rsidP="00C14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распечатка текста, материала на бумаге, фотобумаге;</w:t>
      </w:r>
    </w:p>
    <w:p w:rsidR="00B93893" w:rsidRDefault="00B93893" w:rsidP="00C14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годовой абонемент на пользование библиотекой (читательский билет, возмещение затрат);</w:t>
      </w:r>
    </w:p>
    <w:p w:rsidR="00B93893" w:rsidRDefault="00B93893" w:rsidP="00C14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сканирование и цветная печать материала;</w:t>
      </w:r>
    </w:p>
    <w:p w:rsidR="00B93893" w:rsidRDefault="00B93893" w:rsidP="00C14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доставка читателям книг на дом, к месту работы;</w:t>
      </w:r>
    </w:p>
    <w:p w:rsidR="00B93893" w:rsidRDefault="00B93893" w:rsidP="00C14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формирование тематических подборок материалов по запросу читателей;</w:t>
      </w:r>
    </w:p>
    <w:p w:rsidR="00B93893" w:rsidRDefault="00B93893" w:rsidP="00C14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организация и проведение платных форм культурно-просветительской и информационной деятельности;</w:t>
      </w:r>
    </w:p>
    <w:p w:rsidR="00B93893" w:rsidRDefault="00B93893" w:rsidP="00C14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организация мероприятий по подготовке и переподготовке кадров в установленном законом порядке;</w:t>
      </w:r>
    </w:p>
    <w:p w:rsidR="00B93893" w:rsidRDefault="00B93893" w:rsidP="00C14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розничная торговля канцелярскими товарами, книжной и иной печатной продукцией;</w:t>
      </w:r>
    </w:p>
    <w:p w:rsidR="00B93893" w:rsidRDefault="00B93893" w:rsidP="00C14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сдача помещений в аренду;</w:t>
      </w:r>
    </w:p>
    <w:p w:rsidR="00B93893" w:rsidRDefault="00B93893" w:rsidP="00C14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иные виды предпринимательской деятельности, направленные на расширение перечня предоставляемых пользователям библиотек услуг и социально-творческое развитие библиотеки.</w:t>
      </w:r>
    </w:p>
    <w:p w:rsidR="00B93893" w:rsidRDefault="00B93893" w:rsidP="00C146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3893" w:rsidRPr="0070791B" w:rsidRDefault="00B93893" w:rsidP="00B622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62213">
        <w:rPr>
          <w:rFonts w:ascii="Times New Roman" w:hAnsi="Times New Roman" w:cs="Times New Roman"/>
          <w:sz w:val="20"/>
          <w:szCs w:val="20"/>
          <w:lang w:eastAsia="ru-RU"/>
        </w:rPr>
        <w:t>Общая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балансовая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стоимость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недвижимого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имущества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дату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составления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Плана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финансовой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хозяйственной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деятельности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бюджетного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(автономного) учреждения (в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разрезе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стоимости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имущества, закрепленного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собственником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имущества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за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муниципальным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бюджетным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(автономным) учреждением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праве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оперативного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управления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приобретенного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муниципальным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бюджетным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(автономным) учреждением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за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счет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выделенных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собственником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имущества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учреждения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средств; приобретенного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муниципальным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бюджетным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(автономным) учреждением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за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счет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доходов, полученных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иной, приносящей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213">
        <w:rPr>
          <w:rFonts w:ascii="Times New Roman" w:hAnsi="Times New Roman" w:cs="Times New Roman"/>
          <w:sz w:val="20"/>
          <w:szCs w:val="20"/>
          <w:lang w:eastAsia="ru-RU"/>
        </w:rPr>
        <w:t>доход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0791B">
        <w:rPr>
          <w:rFonts w:ascii="Times New Roman" w:hAnsi="Times New Roman" w:cs="Times New Roman"/>
          <w:sz w:val="20"/>
          <w:szCs w:val="20"/>
          <w:lang w:eastAsia="ru-RU"/>
        </w:rPr>
        <w:t>деятельности):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5C18D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3 164 054,47</w:t>
      </w:r>
    </w:p>
    <w:p w:rsidR="00B93893" w:rsidRPr="005C18DC" w:rsidRDefault="00B93893" w:rsidP="0022286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  <w:lang w:eastAsia="ru-RU"/>
        </w:rPr>
      </w:pPr>
      <w:r w:rsidRPr="00B62213">
        <w:rPr>
          <w:rFonts w:ascii="Times New Roman" w:hAnsi="Times New Roman" w:cs="Times New Roman"/>
          <w:sz w:val="20"/>
          <w:szCs w:val="20"/>
          <w:lang w:eastAsia="ru-RU"/>
        </w:rPr>
        <w:t>Общая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балансовая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стоимость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движимого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имущества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дату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составления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Плана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финансовой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хозяйственной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деятельности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бюджетного (автономного) учреждения, 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том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числе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балансовая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стоимость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особо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ценного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движимого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22862">
        <w:rPr>
          <w:rFonts w:ascii="Times New Roman" w:hAnsi="Times New Roman" w:cs="Times New Roman"/>
          <w:sz w:val="20"/>
          <w:szCs w:val="20"/>
          <w:lang w:eastAsia="ru-RU"/>
        </w:rPr>
        <w:t>имущества: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C18D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5 203 233,41</w:t>
      </w:r>
    </w:p>
    <w:p w:rsidR="00B93893" w:rsidRDefault="00B93893" w:rsidP="0022286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2286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II. Показатели финансового состояния учреждения</w:t>
      </w:r>
    </w:p>
    <w:p w:rsidR="00B93893" w:rsidRDefault="00B93893" w:rsidP="0022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0"/>
      </w:tblGrid>
      <w:tr w:rsidR="00B93893" w:rsidRPr="00592BE1">
        <w:tc>
          <w:tcPr>
            <w:tcW w:w="9345" w:type="dxa"/>
          </w:tcPr>
          <w:tbl>
            <w:tblPr>
              <w:tblW w:w="9214" w:type="dxa"/>
              <w:tblInd w:w="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72"/>
              <w:gridCol w:w="6941"/>
              <w:gridCol w:w="1701"/>
            </w:tblGrid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92B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jc w:val="center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jc w:val="center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Сумма, тыс. руб.</w:t>
                  </w: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jc w:val="center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1</w:t>
                  </w: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jc w:val="center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jc w:val="center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3</w:t>
                  </w: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Нефинансовые активы, 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116CAF" w:rsidRDefault="00B93893" w:rsidP="008C7CBF">
                  <w:pPr>
                    <w:pStyle w:val="ConsPlusNormal"/>
                  </w:pPr>
                  <w:r>
                    <w:t>8 367 287,88</w:t>
                  </w: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ind w:left="283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из них:</w:t>
                  </w:r>
                </w:p>
                <w:p w:rsidR="00B93893" w:rsidRPr="00592BE1" w:rsidRDefault="00B93893" w:rsidP="008C7CBF">
                  <w:pPr>
                    <w:pStyle w:val="ConsPlusNormal"/>
                    <w:ind w:left="283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недвижимое имущество, 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3 164 054,47</w:t>
                  </w: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ind w:left="567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в том числе:</w:t>
                  </w:r>
                </w:p>
                <w:p w:rsidR="00B93893" w:rsidRPr="00592BE1" w:rsidRDefault="00B93893" w:rsidP="008C7CBF">
                  <w:pPr>
                    <w:pStyle w:val="ConsPlusNormal"/>
                    <w:ind w:left="567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остаточная стоимость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ind w:left="424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особо ценное движимое имущество, 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5 203 233,41</w:t>
                  </w: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ind w:left="567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в том числе:</w:t>
                  </w:r>
                </w:p>
                <w:p w:rsidR="00B93893" w:rsidRPr="00592BE1" w:rsidRDefault="00B93893" w:rsidP="008C7CBF">
                  <w:pPr>
                    <w:pStyle w:val="ConsPlusNormal"/>
                    <w:ind w:left="567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остаточная стоимость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1 263 584,97</w:t>
                  </w: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B76F0C" w:rsidRDefault="00B93893" w:rsidP="008C7CBF">
                  <w:pPr>
                    <w:pStyle w:val="ConsPlusNormal"/>
                  </w:pPr>
                  <w:r w:rsidRPr="000E7CE6">
                    <w:t>Финансовые активы, 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0E7CE6" w:rsidRDefault="00B93893" w:rsidP="008C7CBF">
                  <w:pPr>
                    <w:pStyle w:val="ConsPlusNormal"/>
                  </w:pPr>
                  <w:r>
                    <w:t>485 902,39</w:t>
                  </w: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ind w:left="283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из них:</w:t>
                  </w:r>
                </w:p>
                <w:p w:rsidR="00B93893" w:rsidRPr="00592BE1" w:rsidRDefault="00B93893" w:rsidP="008C7CBF">
                  <w:pPr>
                    <w:pStyle w:val="ConsPlusNormal"/>
                    <w:ind w:left="283"/>
                    <w:rPr>
                      <w:b w:val="0"/>
                      <w:bCs w:val="0"/>
                    </w:rPr>
                  </w:pPr>
                  <w:r w:rsidRPr="000E7CE6">
                    <w:rPr>
                      <w:b w:val="0"/>
                      <w:bCs w:val="0"/>
                    </w:rPr>
                    <w:t>денежные средства учреждения,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415 673,35</w:t>
                  </w: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ind w:left="850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в том числе:</w:t>
                  </w:r>
                </w:p>
                <w:p w:rsidR="00B93893" w:rsidRPr="00592BE1" w:rsidRDefault="00B93893" w:rsidP="008C7CBF">
                  <w:pPr>
                    <w:pStyle w:val="ConsPlusNormal"/>
                    <w:ind w:left="850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денежные средства учреждения на счетах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415 673,35</w:t>
                  </w: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ind w:left="850"/>
                    <w:rPr>
                      <w:b w:val="0"/>
                      <w:bCs w:val="0"/>
                    </w:rPr>
                  </w:pPr>
                  <w:r w:rsidRPr="00BB32D7">
                    <w:rPr>
                      <w:b w:val="0"/>
                      <w:bCs w:val="0"/>
                    </w:rPr>
                    <w:t>денежные средства учреждения, размещенные на депозиты в кредитной организации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ind w:left="283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иные финансовые инструменты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ind w:left="283"/>
                    <w:rPr>
                      <w:b w:val="0"/>
                      <w:bCs w:val="0"/>
                    </w:rPr>
                  </w:pPr>
                  <w:r w:rsidRPr="001637EE">
                    <w:rPr>
                      <w:b w:val="0"/>
                      <w:bCs w:val="0"/>
                    </w:rPr>
                    <w:t>дебиторская задолженность по доходам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ind w:left="283"/>
                    <w:rPr>
                      <w:b w:val="0"/>
                      <w:bCs w:val="0"/>
                    </w:rPr>
                  </w:pPr>
                  <w:r w:rsidRPr="001637EE">
                    <w:rPr>
                      <w:b w:val="0"/>
                      <w:bCs w:val="0"/>
                    </w:rPr>
                    <w:t>дебиторская задолженность по расходам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70 229,04</w:t>
                  </w: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C51870" w:rsidRDefault="00B93893" w:rsidP="008C7CBF">
                  <w:pPr>
                    <w:pStyle w:val="ConsPlusNormal"/>
                  </w:pPr>
                  <w:r w:rsidRPr="00C51870">
                    <w:t>Обязательства, всего: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C51870" w:rsidRDefault="00B93893" w:rsidP="008C7CBF">
                  <w:pPr>
                    <w:pStyle w:val="ConsPlusNormal"/>
                  </w:pPr>
                  <w:r>
                    <w:t>0,00</w:t>
                  </w: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ind w:left="283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из них:</w:t>
                  </w:r>
                </w:p>
                <w:p w:rsidR="00B93893" w:rsidRPr="00592BE1" w:rsidRDefault="00B93893" w:rsidP="008C7CBF">
                  <w:pPr>
                    <w:pStyle w:val="ConsPlusNormal"/>
                    <w:ind w:left="283"/>
                    <w:rPr>
                      <w:b w:val="0"/>
                      <w:bCs w:val="0"/>
                    </w:rPr>
                  </w:pPr>
                  <w:r w:rsidRPr="00BB32D7">
                    <w:rPr>
                      <w:b w:val="0"/>
                      <w:bCs w:val="0"/>
                    </w:rPr>
                    <w:t>долговые обязательства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ind w:left="283"/>
                    <w:rPr>
                      <w:b w:val="0"/>
                      <w:bCs w:val="0"/>
                    </w:rPr>
                  </w:pPr>
                  <w:r w:rsidRPr="00C51870">
                    <w:rPr>
                      <w:b w:val="0"/>
                      <w:bCs w:val="0"/>
                    </w:rPr>
                    <w:t>кредиторская задолженность: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0,00</w:t>
                  </w:r>
                </w:p>
              </w:tc>
            </w:tr>
            <w:tr w:rsidR="00B93893" w:rsidRPr="00592BE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ind w:left="567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в том числе:</w:t>
                  </w:r>
                </w:p>
                <w:p w:rsidR="00B93893" w:rsidRPr="00592BE1" w:rsidRDefault="00B93893" w:rsidP="008C7CBF">
                  <w:pPr>
                    <w:pStyle w:val="ConsPlusNormal"/>
                    <w:ind w:left="567"/>
                    <w:rPr>
                      <w:b w:val="0"/>
                      <w:bCs w:val="0"/>
                    </w:rPr>
                  </w:pPr>
                  <w:r w:rsidRPr="00592BE1">
                    <w:rPr>
                      <w:b w:val="0"/>
                      <w:bCs w:val="0"/>
                    </w:rPr>
                    <w:t>просроченная кредиторская задолженность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893" w:rsidRPr="00592BE1" w:rsidRDefault="00B93893" w:rsidP="008C7CBF">
                  <w:pPr>
                    <w:pStyle w:val="ConsPlusNormal"/>
                    <w:rPr>
                      <w:b w:val="0"/>
                      <w:bCs w:val="0"/>
                    </w:rPr>
                  </w:pPr>
                </w:p>
              </w:tc>
            </w:tr>
          </w:tbl>
          <w:p w:rsidR="00B93893" w:rsidRPr="00592BE1" w:rsidRDefault="00B93893" w:rsidP="00592BE1">
            <w:pPr>
              <w:spacing w:after="0" w:line="240" w:lineRule="auto"/>
            </w:pPr>
          </w:p>
        </w:tc>
      </w:tr>
    </w:tbl>
    <w:p w:rsidR="00B93893" w:rsidRDefault="00B93893" w:rsidP="00B31E20">
      <w:pPr>
        <w:tabs>
          <w:tab w:val="left" w:pos="2964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Default="00B93893" w:rsidP="00B31E20">
      <w:pPr>
        <w:tabs>
          <w:tab w:val="left" w:pos="2964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93893" w:rsidRPr="00A4727A" w:rsidRDefault="00B93893" w:rsidP="00A4727A">
      <w:pPr>
        <w:tabs>
          <w:tab w:val="left" w:pos="2964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2286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II. </w:t>
      </w:r>
      <w:r w:rsidRPr="00A4727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Показатели по поступлениям и выплатам государственного</w:t>
      </w:r>
    </w:p>
    <w:p w:rsidR="00B93893" w:rsidRDefault="00B93893" w:rsidP="00A4727A">
      <w:pPr>
        <w:tabs>
          <w:tab w:val="left" w:pos="2964"/>
        </w:tabs>
        <w:spacing w:after="0"/>
        <w:jc w:val="center"/>
        <w:rPr>
          <w:rFonts w:ascii="Times New Roman" w:hAnsi="Times New Roman" w:cs="Times New Roman"/>
        </w:rPr>
      </w:pPr>
      <w:r w:rsidRPr="00A4727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(муниципального) учреждения</w:t>
      </w:r>
    </w:p>
    <w:p w:rsidR="00B93893" w:rsidRDefault="00B93893" w:rsidP="00BE630F">
      <w:pPr>
        <w:pStyle w:val="ConsPlusNormal"/>
        <w:ind w:firstLine="540"/>
        <w:jc w:val="both"/>
        <w:outlineLvl w:val="0"/>
      </w:pPr>
    </w:p>
    <w:tbl>
      <w:tblPr>
        <w:tblW w:w="1498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7"/>
        <w:gridCol w:w="446"/>
        <w:gridCol w:w="714"/>
        <w:gridCol w:w="1245"/>
        <w:gridCol w:w="360"/>
        <w:gridCol w:w="360"/>
        <w:gridCol w:w="360"/>
        <w:gridCol w:w="540"/>
        <w:gridCol w:w="540"/>
        <w:gridCol w:w="540"/>
        <w:gridCol w:w="540"/>
        <w:gridCol w:w="1260"/>
        <w:gridCol w:w="540"/>
        <w:gridCol w:w="540"/>
        <w:gridCol w:w="1080"/>
        <w:gridCol w:w="1080"/>
        <w:gridCol w:w="540"/>
        <w:gridCol w:w="540"/>
        <w:gridCol w:w="884"/>
      </w:tblGrid>
      <w:tr w:rsidR="00B93893" w:rsidRPr="00592BE1">
        <w:trPr>
          <w:trHeight w:val="351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A4727A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Наименование показателя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A4727A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Код строки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A4727A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Код вида расходов классификации расходов бюджетов</w:t>
            </w:r>
          </w:p>
        </w:tc>
        <w:tc>
          <w:tcPr>
            <w:tcW w:w="1094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 w:rsidP="000F3FDC">
            <w:pPr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</w:t>
            </w:r>
          </w:p>
        </w:tc>
      </w:tr>
      <w:tr w:rsidR="00B93893" w:rsidRPr="00592BE1">
        <w:trPr>
          <w:trHeight w:val="188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893" w:rsidRPr="00592BE1" w:rsidRDefault="00B93893" w:rsidP="00A4727A">
            <w:pPr>
              <w:pStyle w:val="ConsPlusNormal"/>
              <w:ind w:right="113"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893" w:rsidRPr="00592BE1" w:rsidRDefault="00B93893" w:rsidP="00A4727A">
            <w:pPr>
              <w:pStyle w:val="ConsPlusNormal"/>
              <w:ind w:right="113"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893" w:rsidRPr="00592BE1" w:rsidRDefault="00B93893" w:rsidP="00A4727A">
            <w:pPr>
              <w:pStyle w:val="ConsPlusNormal"/>
              <w:ind w:right="113"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A4727A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Итого</w:t>
            </w:r>
          </w:p>
        </w:tc>
        <w:tc>
          <w:tcPr>
            <w:tcW w:w="970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 w:rsidP="00A47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за счет </w:t>
            </w:r>
            <w:hyperlink r:id="rId5" w:history="1">
              <w:r w:rsidRPr="00592BE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B93893" w:rsidRPr="00592BE1">
        <w:trPr>
          <w:trHeight w:val="324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66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средств субсидий, предоставляемых из бюджета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BA105F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</w:tr>
      <w:tr w:rsidR="00B93893" w:rsidRPr="00592BE1">
        <w:trPr>
          <w:trHeight w:val="1014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субсидий на иные цели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субсидии на осуществление капитальных вложений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30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средств от платных услуг и грантов</w:t>
            </w:r>
          </w:p>
        </w:tc>
      </w:tr>
      <w:tr w:rsidR="00B93893" w:rsidRPr="00592BE1">
        <w:trPr>
          <w:cantSplit/>
          <w:trHeight w:val="2027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303C0D" w:rsidRDefault="00B93893" w:rsidP="00F416CF">
            <w:pPr>
              <w:pStyle w:val="ConsPlusNormal"/>
              <w:ind w:left="113" w:right="113"/>
              <w:jc w:val="center"/>
            </w:pPr>
            <w:r w:rsidRPr="00303C0D">
              <w:t>всего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F416CF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через лицевые счета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F416CF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через банковские счета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F416CF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некассовыми операциями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F416CF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F416CF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через лицевые счета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F416CF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некассовыми операциями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303C0D" w:rsidRDefault="00B93893" w:rsidP="00F416CF">
            <w:pPr>
              <w:pStyle w:val="ConsPlusNormal"/>
              <w:ind w:left="113" w:right="113"/>
              <w:jc w:val="center"/>
            </w:pPr>
            <w:r w:rsidRPr="00303C0D"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F416CF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через банковские счета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93893" w:rsidRPr="00592BE1" w:rsidRDefault="00B93893" w:rsidP="00F416CF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некассовыми операциями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F416CF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через лицевые счета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F416CF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F416CF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через банковские счета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F416CF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некассовыми операциями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893" w:rsidRPr="00592BE1" w:rsidRDefault="00B93893" w:rsidP="00F416CF">
            <w:pPr>
              <w:pStyle w:val="ConsPlusNormal"/>
              <w:ind w:left="113" w:right="113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через лицевые счета</w:t>
            </w:r>
          </w:p>
        </w:tc>
      </w:tr>
      <w:tr w:rsidR="00B93893" w:rsidRPr="00592BE1"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3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7B0CCC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7B0CCC">
              <w:rPr>
                <w:b w:val="0"/>
                <w:bCs w:val="0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7B0CCC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7B0CCC">
              <w:rPr>
                <w:b w:val="0"/>
                <w:bCs w:val="0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7B0CCC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7B0CCC">
              <w:rPr>
                <w:b w:val="0"/>
                <w:bCs w:val="0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7B0CCC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7B0CCC">
              <w:rPr>
                <w:b w:val="0"/>
                <w:bCs w:val="0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17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18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19</w:t>
            </w:r>
          </w:p>
        </w:tc>
      </w:tr>
      <w:tr w:rsidR="00B93893" w:rsidRPr="00592BE1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Остаток средств на начало года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х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946C7D" w:rsidRDefault="00B93893">
            <w:pPr>
              <w:pStyle w:val="ConsPlusNormal"/>
            </w:pPr>
            <w:r>
              <w:t>415 673,35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DB4898" w:rsidRDefault="00B93893">
            <w:pPr>
              <w:pStyle w:val="ConsPlusNormal"/>
            </w:pPr>
            <w:r>
              <w:t>385 155,21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F5D96" w:rsidRDefault="00B93893">
            <w:pPr>
              <w:pStyle w:val="ConsPlusNormal"/>
              <w:rPr>
                <w:b w:val="0"/>
                <w:bCs w:val="0"/>
              </w:rPr>
            </w:pPr>
            <w:r w:rsidRPr="005F5D96">
              <w:rPr>
                <w:b w:val="0"/>
                <w:bCs w:val="0"/>
              </w:rPr>
              <w:t>385 155,21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DB4898" w:rsidRDefault="00B93893">
            <w:pPr>
              <w:pStyle w:val="ConsPlusNormal"/>
            </w:pPr>
            <w:r>
              <w:t>30 518,14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F5D96" w:rsidRDefault="00B93893">
            <w:pPr>
              <w:pStyle w:val="ConsPlusNormal"/>
              <w:rPr>
                <w:b w:val="0"/>
                <w:bCs w:val="0"/>
              </w:rPr>
            </w:pPr>
            <w:r w:rsidRPr="005F5D96">
              <w:rPr>
                <w:b w:val="0"/>
                <w:bCs w:val="0"/>
              </w:rPr>
              <w:t>30 518,14</w:t>
            </w:r>
          </w:p>
        </w:tc>
      </w:tr>
      <w:tr w:rsidR="00B93893" w:rsidRPr="00592BE1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Поступления, 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200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х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631784" w:rsidRDefault="00B93893">
            <w:pPr>
              <w:pStyle w:val="ConsPlusNormal"/>
            </w:pPr>
            <w:r>
              <w:t>8 084 609,00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303C0D" w:rsidRDefault="00B93893">
            <w:pPr>
              <w:pStyle w:val="ConsPlusNormal"/>
            </w:pPr>
            <w:r>
              <w:t>8 084 609,00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967C91" w:rsidRDefault="00B93893">
            <w:pPr>
              <w:pStyle w:val="ConsPlusNormal"/>
              <w:rPr>
                <w:b w:val="0"/>
                <w:bCs w:val="0"/>
              </w:rPr>
            </w:pPr>
            <w:r w:rsidRPr="00967C91">
              <w:rPr>
                <w:b w:val="0"/>
                <w:bCs w:val="0"/>
              </w:rPr>
              <w:t>8 084 609,00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DB4898" w:rsidRDefault="00B93893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в т.ч.: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Выбытия, 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300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х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highlight w:val="yellow"/>
              </w:rPr>
            </w:pPr>
            <w:r w:rsidRPr="00967C91">
              <w:t>8 500 282,35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967C91" w:rsidRDefault="00B93893">
            <w:pPr>
              <w:pStyle w:val="ConsPlusNormal"/>
            </w:pPr>
            <w:r w:rsidRPr="00967C91">
              <w:t>8 469 764,21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967C9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967C9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112852" w:rsidRDefault="00B93893">
            <w:pPr>
              <w:pStyle w:val="ConsPlusNormal"/>
              <w:rPr>
                <w:b w:val="0"/>
                <w:bCs w:val="0"/>
              </w:rPr>
            </w:pPr>
            <w:r w:rsidRPr="00112852">
              <w:rPr>
                <w:b w:val="0"/>
                <w:bCs w:val="0"/>
              </w:rPr>
              <w:t>8 469 764,21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DB4898" w:rsidRDefault="00B93893">
            <w:pPr>
              <w:pStyle w:val="ConsPlusNormal"/>
            </w:pPr>
            <w:r>
              <w:t>30 518,14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</w:rPr>
            </w:pPr>
            <w:r w:rsidRPr="005F5D96">
              <w:rPr>
                <w:b w:val="0"/>
                <w:bCs w:val="0"/>
              </w:rPr>
              <w:t>30 518,14</w:t>
            </w:r>
          </w:p>
        </w:tc>
      </w:tr>
      <w:tr w:rsidR="00B93893" w:rsidRPr="00592BE1"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в т.ч.: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400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100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  <w:r>
              <w:t>7 921 890,41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  <w:r>
              <w:t>7 921 890,41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  <w:r w:rsidRPr="00886F87">
              <w:rPr>
                <w:b w:val="0"/>
                <w:bCs w:val="0"/>
              </w:rPr>
              <w:t>7 921 890,41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946C7D" w:rsidRDefault="00B93893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  <w:r>
              <w:t>7 921 890,41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  <w:r>
              <w:t>7 921 890,41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  <w:r w:rsidRPr="00886F87">
              <w:rPr>
                <w:b w:val="0"/>
                <w:bCs w:val="0"/>
              </w:rPr>
              <w:t>7 921 890,41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946C7D" w:rsidRDefault="00B93893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93893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111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  <w:r>
              <w:t>5 870 462,26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  <w:r>
              <w:t>5 870 462,26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  <w:r w:rsidRPr="00886F87">
              <w:rPr>
                <w:b w:val="0"/>
                <w:bCs w:val="0"/>
              </w:rPr>
              <w:t>5 870 462,26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946C7D" w:rsidRDefault="00B93893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rPr>
          <w:trHeight w:val="432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93893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112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  <w:r w:rsidRPr="00886F87">
              <w:t>436 450,04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  <w:r w:rsidRPr="00886F87">
              <w:t>436 450,04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  <w:r w:rsidRPr="00886F87">
              <w:rPr>
                <w:b w:val="0"/>
                <w:bCs w:val="0"/>
              </w:rPr>
              <w:t>436 450,04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119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  <w:r w:rsidRPr="00886F87">
              <w:t>1 614 978,11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  <w:r w:rsidRPr="00886F87">
              <w:t>1 614 978,11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</w:rPr>
            </w:pPr>
            <w:r w:rsidRPr="00886F87">
              <w:rPr>
                <w:b w:val="0"/>
                <w:bCs w:val="0"/>
              </w:rPr>
              <w:t>1 614 978,11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946C7D" w:rsidRDefault="00B93893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500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300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...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в том числе на закупку товаров, работ, услуг всего</w:t>
            </w: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600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из них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700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200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  <w:r>
              <w:t>572 191,94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highlight w:val="yellow"/>
              </w:rPr>
            </w:pPr>
            <w:r w:rsidRPr="00886F87">
              <w:t>541 673,80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  <w:r w:rsidRPr="00886F87">
              <w:rPr>
                <w:b w:val="0"/>
                <w:bCs w:val="0"/>
              </w:rPr>
              <w:t>541 673,80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DB4898" w:rsidRDefault="00B93893">
            <w:pPr>
              <w:pStyle w:val="ConsPlusNormal"/>
            </w:pPr>
            <w:r>
              <w:t>30 518,14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</w:rPr>
            </w:pPr>
            <w:r w:rsidRPr="005F5D96">
              <w:rPr>
                <w:b w:val="0"/>
                <w:bCs w:val="0"/>
              </w:rPr>
              <w:t>30 518,14</w:t>
            </w:r>
          </w:p>
        </w:tc>
      </w:tr>
      <w:tr w:rsidR="00B93893" w:rsidRPr="00592BE1"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  <w:r>
              <w:t>572 191,94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highlight w:val="yellow"/>
              </w:rPr>
            </w:pPr>
            <w:r w:rsidRPr="00886F87">
              <w:t>541 673,80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  <w:r w:rsidRPr="00886F87">
              <w:rPr>
                <w:b w:val="0"/>
                <w:bCs w:val="0"/>
              </w:rPr>
              <w:t>541 673,80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DB4898" w:rsidRDefault="00B93893">
            <w:pPr>
              <w:pStyle w:val="ConsPlusNormal"/>
            </w:pPr>
            <w:r>
              <w:t>30 518,14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</w:rPr>
            </w:pPr>
            <w:r w:rsidRPr="005F5D96">
              <w:rPr>
                <w:b w:val="0"/>
                <w:bCs w:val="0"/>
              </w:rPr>
              <w:t>30 518,14</w:t>
            </w:r>
          </w:p>
        </w:tc>
      </w:tr>
      <w:tr w:rsidR="00B93893" w:rsidRPr="00592BE1"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242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DB4898" w:rsidRDefault="00B93893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244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</w:pPr>
            <w:r>
              <w:t>572 191,94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highlight w:val="yellow"/>
              </w:rPr>
            </w:pPr>
            <w:r w:rsidRPr="00886F87">
              <w:t>541 673,80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886F87" w:rsidRDefault="00B93893">
            <w:pPr>
              <w:pStyle w:val="ConsPlusNormal"/>
              <w:rPr>
                <w:b w:val="0"/>
                <w:bCs w:val="0"/>
                <w:highlight w:val="yellow"/>
              </w:rPr>
            </w:pPr>
            <w:r w:rsidRPr="00886F87">
              <w:rPr>
                <w:b w:val="0"/>
                <w:bCs w:val="0"/>
              </w:rPr>
              <w:t>541 673,80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374F38" w:rsidRDefault="00B93893">
            <w:pPr>
              <w:pStyle w:val="ConsPlusNormal"/>
            </w:pPr>
            <w:r>
              <w:t>30 518,14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F5D96" w:rsidRDefault="00B93893">
            <w:pPr>
              <w:pStyle w:val="ConsPlusNormal"/>
              <w:rPr>
                <w:b w:val="0"/>
                <w:bCs w:val="0"/>
              </w:rPr>
            </w:pPr>
            <w:r w:rsidRPr="005F5D96">
              <w:rPr>
                <w:b w:val="0"/>
                <w:bCs w:val="0"/>
              </w:rPr>
              <w:t>30 518,14</w:t>
            </w:r>
          </w:p>
        </w:tc>
      </w:tr>
      <w:tr w:rsidR="00B93893" w:rsidRPr="00592BE1"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800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400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>
            <w:pPr>
              <w:pStyle w:val="ConsPlusNormal"/>
              <w:ind w:firstLine="540"/>
              <w:jc w:val="both"/>
              <w:outlineLvl w:val="0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...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  <w:r w:rsidRPr="008B7C18">
              <w:rPr>
                <w:b w:val="0"/>
                <w:bCs w:val="0"/>
              </w:rPr>
              <w:t>Иные бюджетные ассигнования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900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800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967C91" w:rsidRDefault="00B93893">
            <w:pPr>
              <w:pStyle w:val="ConsPlusNormal"/>
            </w:pPr>
            <w:r w:rsidRPr="00967C91">
              <w:t>6 200,00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967C91" w:rsidRDefault="00B93893">
            <w:pPr>
              <w:pStyle w:val="ConsPlusNormal"/>
              <w:rPr>
                <w:highlight w:val="yellow"/>
              </w:rPr>
            </w:pPr>
            <w:r w:rsidRPr="00967C91">
              <w:t>6 200,00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6 200,00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vMerge/>
            <w:tcBorders>
              <w:lef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93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967C91" w:rsidRDefault="00B93893">
            <w:pPr>
              <w:pStyle w:val="ConsPlusNormal"/>
            </w:pPr>
            <w:r w:rsidRPr="00967C91">
              <w:t>6 200,00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967C91" w:rsidRDefault="00B93893">
            <w:pPr>
              <w:pStyle w:val="ConsPlusNormal"/>
              <w:rPr>
                <w:highlight w:val="yellow"/>
              </w:rPr>
            </w:pPr>
            <w:r w:rsidRPr="00967C91">
              <w:t>6 200,00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6 200,00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vMerge/>
            <w:tcBorders>
              <w:lef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851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967C91" w:rsidRDefault="00B93893">
            <w:pPr>
              <w:pStyle w:val="ConsPlusNormal"/>
            </w:pPr>
            <w:r w:rsidRPr="00967C91">
              <w:t>6 200,00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3A51E2" w:rsidRDefault="00B9389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967C91" w:rsidRDefault="00B93893">
            <w:pPr>
              <w:pStyle w:val="ConsPlusNormal"/>
              <w:rPr>
                <w:highlight w:val="yellow"/>
              </w:rPr>
            </w:pPr>
            <w:r w:rsidRPr="00967C91">
              <w:t>6 200,00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6 200,00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Остаток средств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Pr="00592BE1">
              <w:rPr>
                <w:b w:val="0"/>
                <w:bCs w:val="0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х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  <w:tr w:rsidR="00B93893" w:rsidRPr="00592BE1"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  <w:r w:rsidRPr="00592BE1">
              <w:rPr>
                <w:b w:val="0"/>
                <w:bCs w:val="0"/>
              </w:rPr>
              <w:t>на конец года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>
            <w:pPr>
              <w:pStyle w:val="ConsPlusNormal"/>
              <w:jc w:val="center"/>
              <w:rPr>
                <w:b w:val="0"/>
                <w:bCs w:val="0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>
            <w:pPr>
              <w:pStyle w:val="ConsPlusNormal"/>
              <w:rPr>
                <w:b w:val="0"/>
                <w:bCs w:val="0"/>
              </w:rPr>
            </w:pPr>
          </w:p>
        </w:tc>
      </w:tr>
    </w:tbl>
    <w:p w:rsidR="00B93893" w:rsidRPr="00A4727A" w:rsidRDefault="00B93893" w:rsidP="00A4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727A">
        <w:rPr>
          <w:rFonts w:ascii="Times New Roman" w:hAnsi="Times New Roman" w:cs="Times New Roman"/>
          <w:sz w:val="16"/>
          <w:szCs w:val="16"/>
        </w:rPr>
        <w:t>&lt;*&gt;</w:t>
      </w:r>
      <w:hyperlink r:id="rId6" w:history="1">
        <w:r w:rsidRPr="00A4727A">
          <w:rPr>
            <w:rFonts w:ascii="Times New Roman" w:hAnsi="Times New Roman" w:cs="Times New Roman"/>
            <w:color w:val="0000FF"/>
            <w:sz w:val="16"/>
            <w:szCs w:val="16"/>
          </w:rPr>
          <w:t>Графы 5</w:t>
        </w:r>
      </w:hyperlink>
      <w:r w:rsidRPr="00A4727A">
        <w:rPr>
          <w:rFonts w:ascii="Times New Roman" w:hAnsi="Times New Roman" w:cs="Times New Roman"/>
          <w:sz w:val="16"/>
          <w:szCs w:val="16"/>
        </w:rPr>
        <w:t xml:space="preserve"> - </w:t>
      </w:r>
      <w:hyperlink r:id="rId7" w:history="1">
        <w:r w:rsidRPr="00A4727A">
          <w:rPr>
            <w:rFonts w:ascii="Times New Roman" w:hAnsi="Times New Roman" w:cs="Times New Roman"/>
            <w:color w:val="0000FF"/>
            <w:sz w:val="16"/>
            <w:szCs w:val="16"/>
          </w:rPr>
          <w:t>23</w:t>
        </w:r>
      </w:hyperlink>
      <w:r w:rsidRPr="00A4727A">
        <w:rPr>
          <w:rFonts w:ascii="Times New Roman" w:hAnsi="Times New Roman" w:cs="Times New Roman"/>
          <w:sz w:val="16"/>
          <w:szCs w:val="16"/>
        </w:rPr>
        <w:t xml:space="preserve"> по </w:t>
      </w:r>
      <w:hyperlink r:id="rId8" w:history="1">
        <w:r w:rsidRPr="00A4727A">
          <w:rPr>
            <w:rFonts w:ascii="Times New Roman" w:hAnsi="Times New Roman" w:cs="Times New Roman"/>
            <w:color w:val="0000FF"/>
            <w:sz w:val="16"/>
            <w:szCs w:val="16"/>
          </w:rPr>
          <w:t>строкам 400</w:t>
        </w:r>
      </w:hyperlink>
      <w:r w:rsidRPr="00A4727A">
        <w:rPr>
          <w:rFonts w:ascii="Times New Roman" w:hAnsi="Times New Roman" w:cs="Times New Roman"/>
          <w:sz w:val="16"/>
          <w:szCs w:val="16"/>
        </w:rPr>
        <w:t xml:space="preserve"> - </w:t>
      </w:r>
      <w:hyperlink r:id="rId9" w:history="1">
        <w:r w:rsidRPr="00A4727A">
          <w:rPr>
            <w:rFonts w:ascii="Times New Roman" w:hAnsi="Times New Roman" w:cs="Times New Roman"/>
            <w:color w:val="0000FF"/>
            <w:sz w:val="16"/>
            <w:szCs w:val="16"/>
          </w:rPr>
          <w:t>500</w:t>
        </w:r>
      </w:hyperlink>
      <w:r w:rsidRPr="00A4727A">
        <w:rPr>
          <w:rFonts w:ascii="Times New Roman" w:hAnsi="Times New Roman" w:cs="Times New Roman"/>
          <w:sz w:val="16"/>
          <w:szCs w:val="16"/>
        </w:rPr>
        <w:t xml:space="preserve"> заполняются в случае принятия органом, осуществляющим функции и полномочия учредителя, решения о формировании плановых показателей по выплатам раздельно по источникам финансового обеспечения.</w:t>
      </w:r>
    </w:p>
    <w:p w:rsidR="00B93893" w:rsidRDefault="00B93893" w:rsidP="00A4727A">
      <w:pPr>
        <w:tabs>
          <w:tab w:val="left" w:pos="2964"/>
        </w:tabs>
        <w:rPr>
          <w:rFonts w:ascii="Times New Roman" w:hAnsi="Times New Roman" w:cs="Times New Roman"/>
        </w:rPr>
      </w:pPr>
    </w:p>
    <w:p w:rsidR="00B93893" w:rsidRPr="00510B19" w:rsidRDefault="00B93893" w:rsidP="00A4727A">
      <w:pPr>
        <w:tabs>
          <w:tab w:val="left" w:pos="2964"/>
        </w:tabs>
        <w:rPr>
          <w:rFonts w:ascii="Times New Roman" w:hAnsi="Times New Roman" w:cs="Times New Roman"/>
          <w:sz w:val="20"/>
          <w:szCs w:val="20"/>
        </w:rPr>
      </w:pPr>
    </w:p>
    <w:p w:rsidR="00B93893" w:rsidRDefault="00B93893" w:rsidP="0051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3893" w:rsidRDefault="00B93893" w:rsidP="0051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3893" w:rsidRDefault="00B93893" w:rsidP="0051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3893" w:rsidRDefault="00B93893" w:rsidP="0051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3893" w:rsidRDefault="00B93893" w:rsidP="0051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3893" w:rsidRDefault="00B93893" w:rsidP="0051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3893" w:rsidRDefault="00B93893" w:rsidP="0051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3893" w:rsidRDefault="00B93893" w:rsidP="0051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3893" w:rsidRDefault="00B93893" w:rsidP="0051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3893" w:rsidRPr="00510B19" w:rsidRDefault="00B93893" w:rsidP="0051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B19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510B1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10B19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510B19">
        <w:rPr>
          <w:rFonts w:ascii="Times New Roman" w:hAnsi="Times New Roman" w:cs="Times New Roman"/>
          <w:b/>
          <w:bCs/>
          <w:sz w:val="20"/>
          <w:szCs w:val="20"/>
        </w:rPr>
        <w:t>. Показатели по выплатам на закупку товаров,</w:t>
      </w:r>
    </w:p>
    <w:p w:rsidR="00B93893" w:rsidRPr="00510B19" w:rsidRDefault="00B93893" w:rsidP="0051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B19">
        <w:rPr>
          <w:rFonts w:ascii="Times New Roman" w:hAnsi="Times New Roman" w:cs="Times New Roman"/>
          <w:b/>
          <w:bCs/>
          <w:sz w:val="20"/>
          <w:szCs w:val="20"/>
        </w:rPr>
        <w:t>работ, услуг</w:t>
      </w:r>
    </w:p>
    <w:p w:rsidR="00B93893" w:rsidRPr="00510B19" w:rsidRDefault="00B93893" w:rsidP="00510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59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1"/>
        <w:gridCol w:w="1298"/>
        <w:gridCol w:w="1006"/>
        <w:gridCol w:w="1239"/>
        <w:gridCol w:w="1276"/>
        <w:gridCol w:w="2796"/>
      </w:tblGrid>
      <w:tr w:rsidR="00B93893" w:rsidRPr="00592BE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Код вида расходов классификации расходов бюджетов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B93893" w:rsidRPr="00592BE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 xml:space="preserve">на закупку в соответствии с Федеральным </w:t>
            </w:r>
            <w:hyperlink r:id="rId10" w:history="1">
              <w:r w:rsidRPr="00592BE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592BE1">
              <w:rPr>
                <w:rFonts w:ascii="Times New Roman" w:hAnsi="Times New Roman" w:cs="Times New Roman"/>
                <w:sz w:val="16"/>
                <w:szCs w:val="16"/>
              </w:rPr>
              <w:t xml:space="preserve"> от 18.07.2011 N 223-ФЗ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 xml:space="preserve">на закупку в соответствии с Федеральным </w:t>
            </w:r>
            <w:hyperlink r:id="rId11" w:history="1">
              <w:r w:rsidRPr="00592BE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592BE1">
              <w:rPr>
                <w:rFonts w:ascii="Times New Roman" w:hAnsi="Times New Roman" w:cs="Times New Roman"/>
                <w:sz w:val="16"/>
                <w:szCs w:val="16"/>
              </w:rPr>
              <w:t xml:space="preserve"> от 05.04.2013 N 44-ФЗ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B93893" w:rsidRPr="00592BE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в части выплат на закупки товаров, работ или услуг, размещение извещения, направление приглашения, заключение контракта с единственным поставщиком по которым планируется в очередном финансовом году</w:t>
            </w:r>
          </w:p>
        </w:tc>
      </w:tr>
      <w:tr w:rsidR="00B93893" w:rsidRPr="00592B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93893" w:rsidRPr="00592BE1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893" w:rsidRPr="00592BE1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06" w:type="dxa"/>
            <w:vAlign w:val="center"/>
          </w:tcPr>
          <w:p w:rsidR="00B93893" w:rsidRPr="00967C9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1128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572 191,94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967C9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3893" w:rsidRPr="00967C9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1128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572 191,94</w:t>
            </w:r>
          </w:p>
        </w:tc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B93893" w:rsidRPr="00112852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1128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286 095,97</w:t>
            </w:r>
          </w:p>
        </w:tc>
      </w:tr>
      <w:tr w:rsidR="00B93893" w:rsidRPr="00592BE1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06" w:type="dxa"/>
            <w:vAlign w:val="center"/>
          </w:tcPr>
          <w:p w:rsidR="00B93893" w:rsidRPr="00967C9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28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572 191,94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967C9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3893" w:rsidRPr="00112852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2852">
              <w:rPr>
                <w:rFonts w:ascii="Times New Roman" w:hAnsi="Times New Roman" w:cs="Times New Roman"/>
                <w:sz w:val="16"/>
                <w:szCs w:val="16"/>
              </w:rPr>
              <w:t>572 191,94</w:t>
            </w:r>
          </w:p>
        </w:tc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B93893" w:rsidRPr="00967C9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2852">
              <w:rPr>
                <w:rFonts w:ascii="Times New Roman" w:hAnsi="Times New Roman" w:cs="Times New Roman"/>
                <w:sz w:val="16"/>
                <w:szCs w:val="16"/>
              </w:rPr>
              <w:t>286 095,97</w:t>
            </w:r>
          </w:p>
        </w:tc>
      </w:tr>
      <w:tr w:rsidR="00B93893" w:rsidRPr="00592BE1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06" w:type="dxa"/>
            <w:vAlign w:val="center"/>
          </w:tcPr>
          <w:p w:rsidR="00B93893" w:rsidRPr="00967C9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967C9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3893" w:rsidRPr="00112852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B93893" w:rsidRPr="00967C9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93893" w:rsidRPr="00592BE1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06" w:type="dxa"/>
            <w:vAlign w:val="center"/>
          </w:tcPr>
          <w:p w:rsidR="00B93893" w:rsidRPr="00967C91" w:rsidRDefault="00B93893" w:rsidP="007B0CCC">
            <w:pPr>
              <w:autoSpaceDE w:val="0"/>
              <w:autoSpaceDN w:val="0"/>
              <w:adjustRightInd w:val="0"/>
              <w:spacing w:after="0" w:line="240" w:lineRule="auto"/>
              <w:ind w:right="-382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28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572 191,94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967C9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3893" w:rsidRPr="00112852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2852">
              <w:rPr>
                <w:rFonts w:ascii="Times New Roman" w:hAnsi="Times New Roman" w:cs="Times New Roman"/>
                <w:sz w:val="16"/>
                <w:szCs w:val="16"/>
              </w:rPr>
              <w:t>572 191,94</w:t>
            </w:r>
          </w:p>
        </w:tc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B93893" w:rsidRPr="00967C9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2852">
              <w:rPr>
                <w:rFonts w:ascii="Times New Roman" w:hAnsi="Times New Roman" w:cs="Times New Roman"/>
                <w:sz w:val="16"/>
                <w:szCs w:val="16"/>
              </w:rPr>
              <w:t>286 095,97</w:t>
            </w:r>
          </w:p>
        </w:tc>
      </w:tr>
      <w:tr w:rsidR="00B93893" w:rsidRPr="00592BE1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06" w:type="dxa"/>
            <w:vAlign w:val="bottom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tcBorders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893" w:rsidRPr="00592BE1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3893" w:rsidRPr="00510B19" w:rsidRDefault="00B93893" w:rsidP="00510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93893" w:rsidRPr="00510B19" w:rsidRDefault="00B93893" w:rsidP="00510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10B19">
        <w:rPr>
          <w:rFonts w:ascii="Times New Roman" w:hAnsi="Times New Roman" w:cs="Times New Roman"/>
          <w:sz w:val="20"/>
          <w:szCs w:val="20"/>
        </w:rPr>
        <w:t>Справочно:</w:t>
      </w:r>
    </w:p>
    <w:p w:rsidR="00B93893" w:rsidRPr="00510B19" w:rsidRDefault="00B93893" w:rsidP="00510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7"/>
        <w:gridCol w:w="1363"/>
      </w:tblGrid>
      <w:tr w:rsidR="00B93893" w:rsidRPr="00592BE1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B93893" w:rsidRPr="00592BE1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Публичные обязательства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893" w:rsidRPr="00592BE1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инвестиции (в части переданных полномочий государственного (муниципального) заказчика в случаях и порядке, установленных Бюджетным </w:t>
            </w:r>
            <w:hyperlink r:id="rId12" w:history="1">
              <w:r w:rsidRPr="00592BE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кодексом</w:t>
              </w:r>
            </w:hyperlink>
            <w:r w:rsidRPr="00592BE1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Федерации)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893" w:rsidRPr="00592BE1"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BE1">
              <w:rPr>
                <w:rFonts w:ascii="Times New Roman" w:hAnsi="Times New Roman" w:cs="Times New Roman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893" w:rsidRPr="00592BE1" w:rsidRDefault="00B93893" w:rsidP="0051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3893" w:rsidRDefault="00B93893" w:rsidP="00A4727A">
      <w:pPr>
        <w:tabs>
          <w:tab w:val="left" w:pos="2964"/>
        </w:tabs>
        <w:rPr>
          <w:rFonts w:ascii="Times New Roman" w:hAnsi="Times New Roman" w:cs="Times New Roman"/>
        </w:rPr>
      </w:pPr>
    </w:p>
    <w:p w:rsidR="00B93893" w:rsidRDefault="00B93893" w:rsidP="00A4727A">
      <w:pPr>
        <w:tabs>
          <w:tab w:val="left" w:pos="2964"/>
        </w:tabs>
        <w:rPr>
          <w:rFonts w:ascii="Times New Roman" w:hAnsi="Times New Roman" w:cs="Times New Roman"/>
        </w:rPr>
      </w:pPr>
    </w:p>
    <w:p w:rsidR="00B93893" w:rsidRDefault="00B93893" w:rsidP="00A4727A">
      <w:pPr>
        <w:tabs>
          <w:tab w:val="left" w:pos="29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Экономист                                   Буря Т.Е.</w:t>
      </w:r>
    </w:p>
    <w:p w:rsidR="00B93893" w:rsidRPr="00B31E20" w:rsidRDefault="00B93893" w:rsidP="00A4727A">
      <w:pPr>
        <w:tabs>
          <w:tab w:val="left" w:pos="29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01.01.2017</w:t>
      </w:r>
    </w:p>
    <w:sectPr w:rsidR="00B93893" w:rsidRPr="00B31E20" w:rsidSect="00FE35AE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DEB"/>
    <w:multiLevelType w:val="hybridMultilevel"/>
    <w:tmpl w:val="20B2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44CA7"/>
    <w:multiLevelType w:val="hybridMultilevel"/>
    <w:tmpl w:val="9B06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F65"/>
    <w:multiLevelType w:val="multilevel"/>
    <w:tmpl w:val="5226F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D9"/>
    <w:rsid w:val="00005BEE"/>
    <w:rsid w:val="00017A46"/>
    <w:rsid w:val="00090218"/>
    <w:rsid w:val="000E7CE6"/>
    <w:rsid w:val="000F39D8"/>
    <w:rsid w:val="000F3FDC"/>
    <w:rsid w:val="00112852"/>
    <w:rsid w:val="00116CAF"/>
    <w:rsid w:val="00142455"/>
    <w:rsid w:val="001637EE"/>
    <w:rsid w:val="001B01F8"/>
    <w:rsid w:val="00222862"/>
    <w:rsid w:val="002747D2"/>
    <w:rsid w:val="00285DB9"/>
    <w:rsid w:val="00303C0D"/>
    <w:rsid w:val="00322EBF"/>
    <w:rsid w:val="00323A35"/>
    <w:rsid w:val="00366364"/>
    <w:rsid w:val="00374F38"/>
    <w:rsid w:val="003A51E2"/>
    <w:rsid w:val="00433A0E"/>
    <w:rsid w:val="00441FC0"/>
    <w:rsid w:val="004809CB"/>
    <w:rsid w:val="004C1B09"/>
    <w:rsid w:val="004E0711"/>
    <w:rsid w:val="004E7023"/>
    <w:rsid w:val="00500DAF"/>
    <w:rsid w:val="00510B19"/>
    <w:rsid w:val="00592BE1"/>
    <w:rsid w:val="00595E50"/>
    <w:rsid w:val="005B4A26"/>
    <w:rsid w:val="005C1060"/>
    <w:rsid w:val="005C18DC"/>
    <w:rsid w:val="005F5D96"/>
    <w:rsid w:val="00631784"/>
    <w:rsid w:val="0066242C"/>
    <w:rsid w:val="006E07C5"/>
    <w:rsid w:val="006F5F5A"/>
    <w:rsid w:val="0070791B"/>
    <w:rsid w:val="007A7DBD"/>
    <w:rsid w:val="007B0383"/>
    <w:rsid w:val="007B0CCC"/>
    <w:rsid w:val="007D54AA"/>
    <w:rsid w:val="007F0827"/>
    <w:rsid w:val="00886F87"/>
    <w:rsid w:val="008A4413"/>
    <w:rsid w:val="008B7C18"/>
    <w:rsid w:val="008C4A42"/>
    <w:rsid w:val="008C7CBF"/>
    <w:rsid w:val="008D53D0"/>
    <w:rsid w:val="008D7660"/>
    <w:rsid w:val="00900881"/>
    <w:rsid w:val="00901425"/>
    <w:rsid w:val="00935632"/>
    <w:rsid w:val="00946C7D"/>
    <w:rsid w:val="00950DAE"/>
    <w:rsid w:val="00967C91"/>
    <w:rsid w:val="00994142"/>
    <w:rsid w:val="009D55C9"/>
    <w:rsid w:val="00A45E50"/>
    <w:rsid w:val="00A4727A"/>
    <w:rsid w:val="00AD41AC"/>
    <w:rsid w:val="00AF08C5"/>
    <w:rsid w:val="00B014EA"/>
    <w:rsid w:val="00B31E20"/>
    <w:rsid w:val="00B37467"/>
    <w:rsid w:val="00B43B34"/>
    <w:rsid w:val="00B44C9A"/>
    <w:rsid w:val="00B62213"/>
    <w:rsid w:val="00B71FE2"/>
    <w:rsid w:val="00B76F0C"/>
    <w:rsid w:val="00B93893"/>
    <w:rsid w:val="00B95626"/>
    <w:rsid w:val="00BA105F"/>
    <w:rsid w:val="00BB32D7"/>
    <w:rsid w:val="00BE630F"/>
    <w:rsid w:val="00C101F7"/>
    <w:rsid w:val="00C146C2"/>
    <w:rsid w:val="00C32C2A"/>
    <w:rsid w:val="00C51870"/>
    <w:rsid w:val="00C7255D"/>
    <w:rsid w:val="00C85C15"/>
    <w:rsid w:val="00CC744D"/>
    <w:rsid w:val="00CD5587"/>
    <w:rsid w:val="00CE4A2A"/>
    <w:rsid w:val="00CF3854"/>
    <w:rsid w:val="00D63D31"/>
    <w:rsid w:val="00D7158A"/>
    <w:rsid w:val="00D855D9"/>
    <w:rsid w:val="00DA7C44"/>
    <w:rsid w:val="00DB350A"/>
    <w:rsid w:val="00DB4898"/>
    <w:rsid w:val="00DB7B40"/>
    <w:rsid w:val="00DD5A96"/>
    <w:rsid w:val="00DD6158"/>
    <w:rsid w:val="00DE4ECC"/>
    <w:rsid w:val="00E80F86"/>
    <w:rsid w:val="00ED1044"/>
    <w:rsid w:val="00ED64F4"/>
    <w:rsid w:val="00ED7A65"/>
    <w:rsid w:val="00F41049"/>
    <w:rsid w:val="00F416CF"/>
    <w:rsid w:val="00F53B85"/>
    <w:rsid w:val="00FD3445"/>
    <w:rsid w:val="00FE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B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1B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2213"/>
    <w:pPr>
      <w:ind w:left="720"/>
    </w:pPr>
  </w:style>
  <w:style w:type="paragraph" w:customStyle="1" w:styleId="ConsPlusNormal">
    <w:name w:val="ConsPlusNormal"/>
    <w:uiPriority w:val="99"/>
    <w:rsid w:val="008C7CBF"/>
    <w:pPr>
      <w:autoSpaceDE w:val="0"/>
      <w:autoSpaceDN w:val="0"/>
      <w:adjustRightInd w:val="0"/>
    </w:pPr>
    <w:rPr>
      <w:rFonts w:cs="Calibri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C7CBF"/>
    <w:pPr>
      <w:autoSpaceDE w:val="0"/>
      <w:autoSpaceDN w:val="0"/>
      <w:adjustRightInd w:val="0"/>
    </w:pPr>
    <w:rPr>
      <w:rFonts w:cs="Calibri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14F166F17ADFC37CB5D72312F981893FFF9E249039530279A2635C5E1229560BF8ED00802C302aCd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014F166F17ADFC37CB5D72312F981893FFF9E249039530279A2635C5E1229560BF8ED00802C30DaCd3D" TargetMode="External"/><Relationship Id="rId12" Type="http://schemas.openxmlformats.org/officeDocument/2006/relationships/hyperlink" Target="consultantplus://offline/ref=126E9A25387FD87BEEB59515E42AC74B852140442A9E84515B18E61E21MDk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014F166F17ADFC37CB5D72312F981893FFF9E249039530279A2635C5E1229560BF8ED00802C30FaCd4D" TargetMode="External"/><Relationship Id="rId11" Type="http://schemas.openxmlformats.org/officeDocument/2006/relationships/hyperlink" Target="consultantplus://offline/ref=126E9A25387FD87BEEB59515E42AC74B852E41452F9C84515B18E61E21MDk0D" TargetMode="External"/><Relationship Id="rId5" Type="http://schemas.openxmlformats.org/officeDocument/2006/relationships/hyperlink" Target="consultantplus://offline/ref=BC9BADF49A55F5BAE84E199C880C27198567CA6B1A28D22330CF6C75F4878B52BB3CCC27EC674B18A6OAD" TargetMode="External"/><Relationship Id="rId10" Type="http://schemas.openxmlformats.org/officeDocument/2006/relationships/hyperlink" Target="consultantplus://offline/ref=126E9A25387FD87BEEB59515E42AC74B852E424C289E84515B18E61E21MDk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014F166F17ADFC37CB5D72312F981893FFF9E249039530279A2635C5E1229560BF8ED00802C302aCd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1079</TotalTime>
  <Pages>7</Pages>
  <Words>1596</Words>
  <Characters>9099</Characters>
  <Application>Microsoft Office Outlook</Application>
  <DocSecurity>0</DocSecurity>
  <Lines>0</Lines>
  <Paragraphs>0</Paragraphs>
  <ScaleCrop>false</ScaleCrop>
  <Company>МЦБ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 Виталий</dc:creator>
  <cp:keywords/>
  <dc:description/>
  <cp:lastModifiedBy>Ротарь</cp:lastModifiedBy>
  <cp:revision>23</cp:revision>
  <cp:lastPrinted>2017-02-01T00:05:00Z</cp:lastPrinted>
  <dcterms:created xsi:type="dcterms:W3CDTF">2016-01-11T05:52:00Z</dcterms:created>
  <dcterms:modified xsi:type="dcterms:W3CDTF">2017-02-01T00:08:00Z</dcterms:modified>
</cp:coreProperties>
</file>